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Arial" w:hAnsi="Arial" w:eastAsia="Arial" w:cs="Arial"/>
          <w:sz w:val="40"/>
          <w:szCs w:val="40"/>
          <w:b w:val="1"/>
          <w:color w:val="000000"/>
        </w:rPr>
        <w:jc w:val="center"/>
        <w:pStyle w:val="Title"/>
      </w:pPr>
      <w:r>
        <w:rPr>
          <w:rFonts w:ascii="Arial" w:hAnsi="Arial" w:eastAsia="Arial" w:cs="Arial"/>
          <w:sz w:val="40"/>
          <w:szCs w:val="40"/>
          <w:b w:val="1"/>
          <w:color w:val="000000"/>
        </w:rPr>
        <w:t>Guardrail and Failure-Mode Register</w:t>
      </w:r>
    </w:p>
    <w:p>
      <w:pPr>
        <w:rPr>
          <w:rFonts w:ascii="Arial" w:hAnsi="Arial" w:eastAsia="Arial" w:cs="Arial"/>
          <w:sz w:val="22"/>
          <w:szCs w:val="22"/>
        </w:rPr>
        <w:jc w:val="center"/>
      </w:pPr>
      <w:r>
        <w:rPr>
          <w:i/>
          <w:rFonts w:ascii="Arial" w:hAnsi="Arial" w:eastAsia="Arial" w:cs="Arial"/>
          <w:sz w:val="22"/>
          <w:szCs w:val="22"/>
        </w:rPr>
        <w:t>Part 1: On the Origin of Life | Failure-control support document | source-locked | Issue 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7272"/>
        <w:gridCol w:w="7272"/>
      </w:tblGrid>
      <w:tr>
        <w:trPr>
          <w:tblHeader/>
        </w:trPr>
        <w:tc>
          <w:tcPr>
            <w:tcW w:type="dxa" w:w="288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 field</w:t>
            </w:r>
          </w:p>
        </w:tc>
        <w:tc>
          <w:tcPr>
            <w:tcW w:type="dxa" w:w="115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Value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Document ID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OOL-P1-SD03-GUARDRAIL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Version / issue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Issue 1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Date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2026-09-22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Status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Final failure-control support document for Part 1 Issue 1, source-locked to the finalised three-paper set (GOT-V1-1-1 / GOT-V1-1-2 / GOT-V1-1-3), the fixed literal primary-paper heading locators, and final SD-01. Secondary to canonical papers.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Supersedes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Earlier Issue 1 source-lock and numbering-aligned working states. This final Issue 1 release locks the failure-control register to the paper-complete Part 1 source set and final SD-01; no new guardrail or technical concept is introduced.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Records conceptual guardrails, failure modes, severity classes, corrections, and diagnostic questions for Part 1: On the Origin of Life. No new concepts are introduced.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Canonical rule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papers govern technical definitions. Paper 1 defines the life discriminator; Paper 2 defines life attribution; Paper 3 defines the attribution procedure.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Source-lock rule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Use only the finalised three current Part 1 primary papers and the current SD-01 Concept Compression Map Issue 1 as support-control reference. Primary-paper internal references must use the current literal heading locator map; cited locators omit the terminal display full stop. Do not import exported full-series TEM papers, older EDT files, earlier drafts, superseded support maps, superseded support documents, or prior generated answers as conceptual source material.</w:t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Template rule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old Guardrail and Failure-Mode Register document was used for formatting, table pattern, severity-class pattern, and release-control structure only. It is not a conceptual source for this Issue 1 revision.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1. Purpose and governing rule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This document records the main conceptual guardrails for Part 1: On the Origin of Life. Its purpose is to prevent drift as the three primary papers are compressed, applied to edge cases, converted into templates, and extended into later work.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It protects the architecture from pancomputational overreach, chemistry-only audit collapse, life inflation, matter-state collapse, container collapse, activity collapse, dependence shortcuts, lineage shortcuts, replication shortcuts, potential inflation, dormancy-potential confusion, death-as-class error, closure-output misuse, topology shortcuts, positive-exclusion/residual confusion, procedure inflation, false equivalence, and residual laundering.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Primary guardrail: do not let a familiar biological noun, visible matter-state boundary, activity level, dependency relation, lineage label, topology descriptor, or uncertainty label replace the discriminator conditions that earn life-status, attribution, continuity, class, topology, positive exclusion, closure output, or residual.</w:t>
      </w:r>
    </w:p>
    <w:p>
      <w:pPr>
        <w:rPr>
          <w:rFonts w:ascii="Arial" w:hAnsi="Arial" w:eastAsia="Arial" w:cs="Arial"/>
          <w:sz w:val="24"/>
          <w:szCs w:val="24"/>
          <w:b w:val="1"/>
          <w:color w:val="1F4E79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1F4E79"/>
        </w:rPr>
        <w:t>0.1 Source-lock register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115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Seq.</w:t>
            </w:r>
          </w:p>
        </w:tc>
        <w:tc>
          <w:tcPr>
            <w:tcW w:type="dxa" w:w="388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Latest source file</w:t>
            </w:r>
          </w:p>
        </w:tc>
        <w:tc>
          <w:tcPr>
            <w:tcW w:type="dxa" w:w="259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paper</w:t>
            </w:r>
          </w:p>
        </w:tc>
        <w:tc>
          <w:tcPr>
            <w:tcW w:type="dxa" w:w="676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ownership / use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GOT-V1-1-1 - On the Origin of Life - Issue 1.docx | sha16 b46a62c660223454</w:t>
            </w:r>
          </w:p>
        </w:tc>
        <w:tc>
          <w:tcPr>
            <w:tcW w:type="dxa" w:w="25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On the Origin of Life</w:t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 grounding; pancomputation discipline; Trivial Computation; Non-Trivial Computation; Nested Multiscale Framework; evaluation conditions; readout and temporal framing; Baseline Dynamics; Information Processing Locus; Driven Thermodynamic System; life as driven thermodynamic constraint-maintenance supported by IPL-mediated NTC; physics-chemistry-life transition.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GOT-V1-1-2 - The Identification of Life - Issue 1.docx | sha16 0f1f564c3786f208</w:t>
            </w:r>
          </w:p>
        </w:tc>
        <w:tc>
          <w:tcPr>
            <w:tcW w:type="dxa" w:w="25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Identification of Life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architecture; candidate frame; reference-indexed attribution; informational regime; life-realisation; maintained boundary; Attribution Locus; DTS completion; organisational identity; intrinsic resumability; potential informational throughput; throughput identity; continuity status; death as branch-closure; closure output; post-death constituent reframing; positive exclusion; residual deferral; relationship topology; formal ladder.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GOT-V1-1-3 - The Life Attribution Procedure - Issue 1.docx | sha16 6c6d2b60203198e8</w:t>
            </w:r>
          </w:p>
        </w:tc>
        <w:tc>
          <w:tcPr>
            <w:tcW w:type="dxa" w:w="25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Life Attribution Procedure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Diagnostic sequence; reference preflight; candidate framing; life-realisation threshold; Attribution Locus localisation; DTS-completion localisation; identity and continuity determination; primary class assignment or residual deferral; topology assignment; residual inventory and update statement; standard attribution output; closure output form; audit template; exemplar desktop studies; cross-case findings; guardrails and failure modes.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4848"/>
        <w:gridCol w:w="4848"/>
        <w:gridCol w:w="4848"/>
      </w:tblGrid>
      <w:tr>
        <w:trPr>
          <w:tblHeader/>
        </w:trPr>
        <w:tc>
          <w:tcPr>
            <w:tcW w:type="dxa" w:w="158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 ID</w:t>
            </w:r>
          </w:p>
        </w:tc>
        <w:tc>
          <w:tcPr>
            <w:tcW w:type="dxa" w:w="576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Latest control file</w:t>
            </w:r>
          </w:p>
        </w:tc>
        <w:tc>
          <w:tcPr>
            <w:tcW w:type="dxa" w:w="691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Permitted use</w:t>
            </w:r>
          </w:p>
        </w:tc>
      </w:tr>
      <w:t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SD-01</w:t>
            </w:r>
          </w:p>
        </w:tc>
        <w:tc>
          <w:tcPr>
            <w:tcW w:type="dxa" w:w="57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Concept Compression Map - Issue 1.docx | sha16 a256c5229849f993</w:t>
            </w:r>
          </w:p>
        </w:tc>
        <w:tc>
          <w:tcPr>
            <w:tcW w:type="dxa" w:w="69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Architecture compression and support-stack alignment for the finalised source set. Secondary to the primary papers.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Template-source use: the prior version of this support document was used for formatting, table pattern, section hierarchy, and release-control structure only. It is not a conceptual source for this Issue 1 revision.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Excluded source class: exported full-series TEM papers and concepts, older project files, earlier EDT documents, superseded support-map wording, superseded support-document wording, and prior generated answers are not conceptual sources for this Issue 1 support set.</w:t>
      </w: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2. Canonical ownership guardrail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Rule: Paper 1 defines the life threshold; Paper 2 defines attribution; Paper 3 defines procedure. A support document may name and compress concepts, but it must not silently move canonical ownership.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4848"/>
        <w:gridCol w:w="4848"/>
        <w:gridCol w:w="4848"/>
      </w:tblGrid>
      <w:tr>
        <w:trPr>
          <w:tblHeader/>
        </w:trPr>
        <w:tc>
          <w:tcPr>
            <w:tcW w:type="dxa" w:w="460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Architecture region</w:t>
            </w:r>
          </w:p>
        </w:tc>
        <w:tc>
          <w:tcPr>
            <w:tcW w:type="dxa" w:w="172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home</w:t>
            </w:r>
          </w:p>
        </w:tc>
        <w:tc>
          <w:tcPr>
            <w:tcW w:type="dxa" w:w="79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Guardrail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 grounding, NMF, TC/NTC, BD, IPL, DTS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redefine computation, NTC, Baseline Dynamics, IPL, DTS, or life in attribution or procedure documents.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threshold and physics-chemistry-life transition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treat life as complexity, metabolism, reproduction, feedback, adaptation, persistence, lineage, familiarity, intelligence, or NTC alone.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architecture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assign life to the first named object, visible container, or familiar biological noun without Attribution Locus analysis.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Identity, continuity, potential throughput, death/closure, and ladder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collapse dormancy, Life-in-Potential, terminal active Life, death/closure, reconstruction, incorporation, Complex Chemistry, and residual into one binary.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Relationship topology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let parasite, symbiont, organelle, tumour, scaffold, artificial, or host-dependent label decide primary life-status.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Diagnostic procedure and audit output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turn the procedure into the phenomenon or reduce it to a checklist of traits.</w:t>
            </w:r>
          </w:p>
        </w:tc>
      </w:tr>
      <w:tr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inventory and update conditions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</w:t>
            </w:r>
          </w:p>
        </w:tc>
        <w:tc>
          <w:tcPr>
            <w:tcW w:type="dxa" w:w="79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hide uncertainty inside a verdict; localise the missing discriminator and state the update condition.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3. Severity classes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316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Class</w:t>
            </w:r>
          </w:p>
        </w:tc>
        <w:tc>
          <w:tcPr>
            <w:tcW w:type="dxa" w:w="302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Meaning</w:t>
            </w:r>
          </w:p>
        </w:tc>
        <w:tc>
          <w:tcPr>
            <w:tcW w:type="dxa" w:w="547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Examples</w:t>
            </w:r>
          </w:p>
        </w:tc>
        <w:tc>
          <w:tcPr>
            <w:tcW w:type="dxa" w:w="2736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Required response</w:t>
            </w:r>
          </w:p>
        </w:tc>
      </w:tr>
      <w:tr>
        <w:tc>
          <w:tcPr>
            <w:tcW w:type="dxa" w:w="31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A - Mechanical inconsistency</w:t>
            </w:r>
          </w:p>
        </w:tc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Breaks the architecture.</w:t>
            </w:r>
          </w:p>
        </w:tc>
        <w:tc>
          <w:tcPr>
            <w:tcW w:type="dxa" w:w="547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Redefining life; treating TC as NTC; assigning Life without IPL-mediated NTC; making death a fourth class; calling reconstruction survival; bypassing Attribution Locus localisation; using uncertainty as a hidden class.</w:t>
            </w:r>
          </w:p>
        </w:tc>
        <w:tc>
          <w:tcPr>
            <w:tcW w:type="dxa" w:w="27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Correct before finalisation.</w:t>
            </w:r>
          </w:p>
        </w:tc>
      </w:tr>
      <w:tr>
        <w:tc>
          <w:tcPr>
            <w:tcW w:type="dxa" w:w="31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B - Terminology drift</w:t>
            </w:r>
          </w:p>
        </w:tc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Creates ambiguity or future misuse.</w:t>
            </w:r>
          </w:p>
        </w:tc>
        <w:tc>
          <w:tcPr>
            <w:tcW w:type="dxa" w:w="547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Using information without regime/throughput; treating dependence as verdict; topology as class; potential as weak life; dormant as merely inactive; maintained-locus wording where final Attribution Locus wording is required.</w:t>
            </w:r>
          </w:p>
        </w:tc>
        <w:tc>
          <w:tcPr>
            <w:tcW w:type="dxa" w:w="27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Correct before compression or publication.</w:t>
            </w:r>
          </w:p>
        </w:tc>
      </w:tr>
      <w:tr>
        <w:tc>
          <w:tcPr>
            <w:tcW w:type="dxa" w:w="31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C - Presentation ambiguity</w:t>
            </w:r>
          </w:p>
        </w:tc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May mislead despite intact architecture.</w:t>
            </w:r>
          </w:p>
        </w:tc>
        <w:tc>
          <w:tcPr>
            <w:tcW w:type="dxa" w:w="547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Procedure sounds mechanical; residual sounds explanatory; support document sounds canonical; examples sound universal rather than reference-indexed; positive exclusion sounds like uncertainty.</w:t>
            </w:r>
          </w:p>
        </w:tc>
        <w:tc>
          <w:tcPr>
            <w:tcW w:type="dxa" w:w="27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Clarify through wording, heading, ownership note, residual statement, or update condition.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4. Master guardrail table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324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Failure mode</w:t>
            </w:r>
          </w:p>
        </w:tc>
        <w:tc>
          <w:tcPr>
            <w:tcW w:type="dxa" w:w="43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Error</w:t>
            </w:r>
          </w:p>
        </w:tc>
        <w:tc>
          <w:tcPr>
            <w:tcW w:type="dxa" w:w="5903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Correction</w:t>
            </w:r>
          </w:p>
        </w:tc>
        <w:tc>
          <w:tcPr>
            <w:tcW w:type="dxa" w:w="79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Severity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Source-lock drift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Exported full-series TEM concepts re-enter the split life stack as conceptual sources.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Remove imported material; use old documents only as templates; return to the finalised three primary life papers and SD-01 Issue 1.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Canonical ownership drift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support document becomes a source of technical redefinition.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Return the term to its canonical home; mark support text as compression only.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Redescription collapse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TC is treated as NTC, or computational mapping is treated as life.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physically enacted discrimination, organisation mediation, downstream dependence, and BD comparator pressure.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NTC inflation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Any counterfactual discrimination is treated as Life.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Restore the stricter life condition: driven thermodynamic constraint-maintenance supported by IPL-mediated NTC.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Chemistry-only audit collapse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Chemistry is treated as sufficient to audit life-status without the discriminator question.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physical and chemical continuity, but require assessment of distinction-conditioned driven constraint-maintenance.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Comparator weakness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life or NTC claim survives only because the comparator is vague.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Construct adequate BD-family comparator preserving boundary context, driving, inventory, scale, horizon, and noise assumptions.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IPL vagueness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Outcome dependence is attributed to the whole system, environment, or external interpreter without localising the mediating organisation.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Identify what must remain intact, or be ablated, for the distinction to do downstream work.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inflation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Informational, computational, adaptive, reproductive, or biologically familiar systems are treated as alive.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life-realising driven constraint-maintenance through IPL-mediated NTC.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Matter-state collapse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Membrane, body, capsid, genome, organ, or biological material is treated as final discriminator.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Move from familiar matter-state barrier to informational regime identification.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Container collapse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inside a frame is treated as Life of the frame.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 the Attribution Locus before primary class assignment.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Locus bypass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output assigns class before identifying whose regime is being classified.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 the bearer of active, dormant, potential, closed, reconstructed, incorporated, excluded, or residual-bearing relation.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Activity collapse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Visible metabolism, motion, growth, or reproduction is treated as necessary or sufficient for Life.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Distinguish active Life, dormant Life, terminal active Life, Life-in-Potential, and closure/death.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Dependence shortcut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Dependence is treated as automatic non-life or automatic unity.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Decompose resource dependence, scaffolded support, constitutive dependence, host completion, and coupled completion.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Lineage shortcut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Descent, copying, or sequence preservation is treated as present life-status.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lineage only after organisational identity or throughput identity has been established.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Replication shortcut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Replication or reproductive participation is treated as sufficient for Life.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life-realisation at the Attribution Locus; host-completed propagation may support Life-in-Potential, not free-phase Life.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Potential inflation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Any stored sequence, biological material, trigger, or reconstructable record is treated as Life-in-Potential.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identity-bearing potential informational throughput into admissible extrinsic life-realising completion.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Dormancy-potential confusion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Intrinsic resumability is confused with extrinsic completion potential.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dormant Life as Life where intrinsic same-locus resumability remains open.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Terminal-life confusion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Terminal phase is treated as death merely because long-term continuation is unlikely.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Classify terminal active Life until branch-realisation closes for the target locus.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Death-as-class error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is entered into the primary ladder as a fourth class.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closure output for closed continuity of a formerly living target locus.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overextension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of a target locus is spread to every constituent inside the former system.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Apply post-death constituent reframing; classify living subloci, potential candidates, and chemistry separately.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Closure-output misuse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output is applied to material that was never the formerly living target locus.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closure only for formerly living target loci; reframe remnants separately.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Reconstruction-as-survival error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Later reconstruction is treated as same-locus return.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Distinguish reconstruction after continuity failure from intrinsic resumption.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Incorporation-as-survival error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Material incorporation into another living regime is treated as survival of the prior locus.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Classify incorporation as cross-locus descriptor, not continuity.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Functional sublocus inflation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An indispensable component is treated as a living locus at the claimed scale.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its own maintained boundary, driven regime, operative distinction, and continuity relation.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Topology shortcut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Parasitic, symbiotic, organelle, tumour, artificial, or scaffolded relation becomes the verdict.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Assign topology only after primary class and continuity status are established.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Positive-exclusion confusion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relation that is positively excluded under stated conditions is softened into vague uncertainty.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State positive exclusion where warranted; carry residual only where a discriminator condition remains incomplete.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laundering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Unresolved discriminator conditions are converted into explanation or hidden in a familiar class.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State residual locally, inventory the missing condition, and specify update conditions.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False equivalence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All unresolved possibilities are treated as equally live.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discriminator support, strength markers, and update conditions.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False precision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weak audit is made precise by notation or output form.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State strength marker and residual; do not let the form overstate support.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  <w:tr>
        <w:tc>
          <w:tcPr>
            <w:tcW w:type="dxa" w:w="32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Procedure inflation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diagnostic procedure is treated as an additional life theory.</w:t>
            </w:r>
          </w:p>
        </w:tc>
        <w:tc>
          <w:tcPr>
            <w:tcW w:type="dxa" w:w="590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canon from application; procedure preserves relation order but does not redefine life.</w:t>
            </w:r>
          </w:p>
        </w:tc>
        <w:tc>
          <w:tcPr>
            <w:tcW w:type="dxa" w:w="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5. Diagnostic spine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When a term, claim, model, example, or support document appears to drift, apply the following diagnostic sequence: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7272"/>
        <w:gridCol w:w="7272"/>
      </w:tblGrid>
      <w:tr>
        <w:trPr>
          <w:tblHeader/>
        </w:trPr>
        <w:tc>
          <w:tcPr>
            <w:tcW w:type="dxa" w:w="1007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Step</w:t>
            </w:r>
          </w:p>
        </w:tc>
        <w:tc>
          <w:tcPr>
            <w:tcW w:type="dxa" w:w="13247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Diagnostic question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is the candidate frame?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are the reference boundary, focal scale, interface, operational horizon, driving conditions, and discrimination/noise regime?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the claim testing the Paper 1 life threshold, the Paper 2 attribution relation, or the Paper 3 procedure?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there a driven constraint-bearing regime?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5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Which distinctions are operative, and what organisation makes downstream outcomes depend on them?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BD-family comparator tests the claimed dependence?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7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Where is the Information Processing Locus?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8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Does life-realisation occur inside the frame?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Whose Attribution Locus carries the realised, intrinsically resumable, potential, closed, reconstructed, incorporated, positively excluded, or residual-bearing relation?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10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Where is DTS completion: intrinsic, resource-dependent, scaffolded, constitutively dependent, host-completed, coupled, or no further same-locus completion after closure?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11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identity relation is preserved: organisational identity, intrinsic resumability, throughput identity, lineage identity, reconstruction, incorporation, or none?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12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Which continuity status is warranted: active, dormant, terminal active, potential, closed, or uncertain with residual?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13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Which primary class is warranted: Complex Chemistry, Life-in-Potential, Life, or primary-class deferral?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14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any tested relation positively excluded under the stated reference conditions?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15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topology modifier follows after attribution?</w:t>
            </w:r>
          </w:p>
        </w:tc>
      </w:tr>
      <w:tr>
        <w:tc>
          <w:tcPr>
            <w:tcW w:type="dxa" w:w="100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16</w:t>
            </w:r>
          </w:p>
        </w:tc>
        <w:tc>
          <w:tcPr>
            <w:tcW w:type="dxa" w:w="13247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residual remains, what inventory type is it, and what would force update?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br w:type="page"/>
      </w: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6. Architecture-specific guardrails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230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Region</w:t>
            </w:r>
          </w:p>
        </w:tc>
        <w:tc>
          <w:tcPr>
            <w:tcW w:type="dxa" w:w="388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Failure risk</w:t>
            </w:r>
          </w:p>
        </w:tc>
        <w:tc>
          <w:tcPr>
            <w:tcW w:type="dxa" w:w="604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Required correction</w:t>
            </w:r>
          </w:p>
        </w:tc>
        <w:tc>
          <w:tcPr>
            <w:tcW w:type="dxa" w:w="216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Compression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TC / NTC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lawful redescribability as physically enacted discrimination.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discriminable distinction, organisation-mediated downstream dependence, and BD-family ablation, scrambling, reset, neutralisation, or bypass-control.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Description is not discrimination.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NMF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layers as new substances or mere conveniences.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KMB -&gt; BC -&gt; TSS -&gt; thermodynamic information -&gt; EBC -&gt; CTSS/CTS -&gt; DTSS/DTS -&gt; SIT -&gt; NTC as constrained descriptive regimes.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Higher levels are constrained regimes.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BD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Using baseline as vague null condition.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BD must preserve context while disabling the organisation under test.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BD is disciplined contrast.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IPL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Attributing life-relevant computation without localising what does the distinction-conditioned work.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Identify the organisation whose integrity is required for downstream dependence.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IPL says where the distinction does work.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discriminator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Life as NTC, self-organisation, metabolism, reproduction, adaptation, or persistence alone.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a DTS whose constraint-maintenance depends on IPL-mediated NTC.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is stricter than NTC.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Physics-chemistry-life transition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life as leaving chemistry or as only chemistry.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physical and chemical continuity while adding the discriminator required to audit life-status.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is an emergent audit layer.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Candidate frame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the first named object as the answer.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 the frame as provisional and correct it by informational regime, boundary, completion, and continuity.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frame opens the inquiry.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Positive exclusion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Using uncertainty language where a relation is negatively warranted under stated conditions.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State the relation as positively excluded under the stated frame; use residual only for incomplete conditions.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Exclusion is not residual.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Informational regime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externally readable content as identity-bearing throughput.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distinctions physically carried by the candidate relation and available to realise, resume, complete, or close a regime.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Information must belong to the regime.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Maintained boundary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visible enclosure as identity.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Ask whether the boundary participates in preserving identity-bearing throughput.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Boundary is not identity.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Locus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Attributing life to broad container or indispensable component.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 the operational unit whose regime is realised, resumed, completed, potentialised, closed, reconstructed, incorporated, excluded, or residual-bearing.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needs a bearer.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DTS completion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Treating dependence as binary independence/dependence.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resource dependence, scaffolded support, constitutive dependence, host completion, coupled completion, and no further same-locus DTS completion after closure.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Dependence is an attribution variable.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Confusing organisational identity, intrinsic resumability, throughput identity, lineage, reconstruction, and incorporation.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Assign the correct continuity relation before class.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determines branch status.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Formal ladder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Adding death as a fourth class or treating Life-in-Potential as weak Life.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the ladder as Complex Chemistry / Life-in-Potential / Life; death is closure output / continuity status.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Ladder gives class; continuity gives status.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output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Using closure output as a replacement primary class or applying it to all remnants.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only for closed continuity of a formerly living target locus and trigger constituent reframing.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is target-locus death.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Topology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Using parasite, symbiont, organelle, tumour, or artificial support as primary classification.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Assign topology after locus, completion, continuity, and class.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Topology follows attribution.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Procedure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Turning the diagnostic sequence into a checklist of independent traits.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dependency order and field separation.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Procedure protects canon.</w:t>
            </w:r>
          </w:p>
        </w:tc>
      </w:tr>
      <w:t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inventory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Leaving uncertainty vague or using unresolved as a hidden field value.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Inventory the missing condition and state update conditions.</w:t>
            </w:r>
          </w:p>
        </w:tc>
        <w:tc>
          <w:tcPr>
            <w:tcW w:type="dxa" w:w="21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localises uncertainty.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7. Edge-case guardrails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4848"/>
        <w:gridCol w:w="4848"/>
        <w:gridCol w:w="4848"/>
      </w:tblGrid>
      <w:tr>
        <w:trPr>
          <w:tblHeader/>
        </w:trPr>
        <w:tc>
          <w:tcPr>
            <w:tcW w:type="dxa" w:w="302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Edge case</w:t>
            </w:r>
          </w:p>
        </w:tc>
        <w:tc>
          <w:tcPr>
            <w:tcW w:type="dxa" w:w="460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Do not infer</w:t>
            </w:r>
          </w:p>
        </w:tc>
        <w:tc>
          <w:tcPr>
            <w:tcW w:type="dxa" w:w="676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Audit requirement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Dormant seed, spore, cyst, cryopreserved bacterium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non-life from low activity.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Test intrinsic resumability in the same Attribution Locus and viability evidence.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Terminal organism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death from terminality or reserve depletion.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Classify terminal active Life until branch-realisation closes for the target locus.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Free intact virion-like particle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Life from sequence or non-life from free-phase inactivity alone.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Test identity-bearing potential throughput into admissible host-completed DTS pathway.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Productive infection and lysis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assign one status to the whole scene.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Split host-cell closure, released candidate potential throughput, and non-identity-bearing debris.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Host-dependent parasite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non-life from dependence.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 parasite Attribution Locus and DTS-completion relation.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Organ, tissue, or perfused support case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organismal Life from living cells or artificial support.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cellular loci, tissue-level relation, scaffolded support, and residual.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Mitochondrion or organelle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status from lineage or organelle name.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functional sublocus, constitutive dependence, maintained organisation, and residual.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Corpse or post-death remains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spread organismal death to every constituent.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closure output for the target locus and perform constituent reframing.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Artificial or hybrid system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life from engineering or deny life from artificial support.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Test whether the candidate itself is the Attribution Locus of driven constraint-maintenance supported by IPL-mediated NTC.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Protocell or origin-of-life model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Life from chemistry, compartment, replication, or catalysis alone.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Ask whether chemical organisation has crossed into distinction-conditioned maintenance of its own driven regime.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8. Change log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115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Issue</w:t>
            </w:r>
          </w:p>
        </w:tc>
        <w:tc>
          <w:tcPr>
            <w:tcW w:type="dxa" w:w="144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Date</w:t>
            </w:r>
          </w:p>
        </w:tc>
        <w:tc>
          <w:tcPr>
            <w:tcW w:type="dxa" w:w="979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Change</w:t>
            </w:r>
          </w:p>
        </w:tc>
        <w:tc>
          <w:tcPr>
            <w:tcW w:type="dxa" w:w="2015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Authority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Issue 1</w:t>
            </w:r>
          </w:p>
        </w:tc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2026-09-22</w:t>
            </w:r>
          </w:p>
        </w:tc>
        <w:tc>
          <w:tcPr>
            <w:tcW w:type="dxa" w:w="9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Final Issue 1 source-lock release aligned to the fixed literal heading locators, the recorded final filenames and hashes for GOT-V1-1-1, GOT-V1-1-2, and GOT-V1-1-3, and final SD-01. Existing failure controls remain source-supported; no new concepts are introduced.</w:t>
            </w:r>
          </w:p>
        </w:tc>
        <w:tc>
          <w:tcPr>
            <w:tcW w:type="dxa" w:w="20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Finalised source-locked Part 1 primary/support set, Issue 1.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9. Release/revision checklist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every guardrail preserve canonical ownership?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the document block TC/NTC collapse and NTC/life inflation?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the document preserve BD comparator and IPL localisation discipline?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it keep chemistry physically continuous with life while preventing chemistry-only audit collapse?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it use Attribution Locus for attribution-bearing relation rather than relying on a visible container?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it keep Life-in-Potential narrow and distinct from dormancy, reconstruction, and ordinary potential?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it keep death out of the primary ladder and route target-locus death through closure output?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it separate positive exclusion, uncertain field carried in residual, and classification with residual?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every residual require an inventory type and update condition?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the document avoid importing exported full-series TEM material or superseded support wording as conceptual source?</w:t>
      </w: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  <w:szCs w:val="18"/>
      </w:rPr>
    </w:r>
    <w:r>
      <w:rPr>
        <w:rFonts w:ascii="Arial" w:hAnsi="Arial" w:eastAsia="Arial" w:cs="Arial"/>
        <w:sz w:val="18"/>
        <w:szCs w:val="18"/>
      </w:rPr>
      <w:t>Secondary to canonical papers. Primary papers govern technical use.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 w:eastAsia="Arial" w:cs="Arial"/>
        <w:sz w:val="18"/>
        <w:szCs w:val="18"/>
      </w:rPr>
    </w:r>
    <w:r>
      <w:rPr>
        <w:rFonts w:ascii="Arial" w:hAnsi="Arial" w:eastAsia="Arial" w:cs="Arial"/>
        <w:sz w:val="18"/>
        <w:szCs w:val="18"/>
      </w:rPr>
      <w:t>Part 1: On the Origin of Life | OOL-P1-SD03-GUARDRAIL | Issue 1 | Source-locked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2"/>
      <w:szCs w:val="22"/>
    </w:rPr>
  </w:style>
  <w:style w:type="paragraph" w:styleId="Header">
    <w:rPr>
      <w:rFonts w:ascii="Arial" w:hAnsi="Arial" w:eastAsia="Arial" w:cs="Arial"/>
      <w:sz w:val="18"/>
      <w:szCs w:val="18"/>
    </w:rPr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rPr>
      <w:rFonts w:ascii="Arial" w:hAnsi="Arial" w:eastAsia="Arial" w:cs="Arial"/>
      <w:sz w:val="22"/>
      <w:szCs w:val="22"/>
    </w:rPr>
    <w:name w:val="Header Char"/>
    <w:basedOn w:val="DefaultParagraphFont"/>
    <w:link w:val="Header"/>
    <w:uiPriority w:val="99"/>
    <w:rsid w:val="00E618BF"/>
  </w:style>
  <w:style w:type="paragraph" w:styleId="Footer">
    <w:rPr>
      <w:rFonts w:ascii="Arial" w:hAnsi="Arial" w:eastAsia="Arial" w:cs="Arial"/>
      <w:sz w:val="18"/>
      <w:szCs w:val="18"/>
    </w:rPr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rPr>
      <w:rFonts w:ascii="Arial" w:hAnsi="Arial" w:eastAsia="Arial" w:cs="Arial"/>
      <w:sz w:val="22"/>
      <w:szCs w:val="22"/>
    </w:rPr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1F4E79"/>
      <w:rFonts w:ascii="Arial" w:hAnsi="Arial" w:eastAsia="Arial" w:cs="Arial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1F4E79"/>
      <w:rFonts w:ascii="Arial" w:hAnsi="Arial" w:eastAsia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1F4E79"/>
      <w:rFonts w:ascii="Arial" w:hAnsi="Arial" w:eastAsia="Arial" w:cs="Arial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rFonts w:ascii="Arial" w:hAnsi="Arial" w:eastAsia="Arial" w:cs="Arial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default="1" w:styleId="DefaultParagraphFont">
    <w:rPr>
      <w:rFonts w:ascii="Arial" w:hAnsi="Arial" w:eastAsia="Arial" w:cs="Arial"/>
      <w:sz w:val="22"/>
      <w:szCs w:val="22"/>
    </w:rPr>
    <w:name w:val="Default Paragraph Font"/>
    <w:uiPriority w:val="1"/>
    <w:semiHidden/>
    <w:unhideWhenUsed/>
  </w:style>
  <w:style w:type="table" w:default="1" w:styleId="TableNormal">
    <w:rPr>
      <w:rFonts w:ascii="Arial" w:hAnsi="Arial" w:eastAsia="Arial" w:cs="Arial"/>
      <w:sz w:val="22"/>
      <w:szCs w:val="22"/>
    </w:rPr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rPr>
      <w:rFonts w:ascii="Arial" w:hAnsi="Arial" w:eastAsia="Arial" w:cs="Arial"/>
      <w:sz w:val="22"/>
      <w:szCs w:val="22"/>
    </w:rPr>
    <w:name w:val="No List"/>
    <w:uiPriority w:val="99"/>
    <w:semiHidden/>
    <w:unhideWhenUsed/>
  </w:style>
  <w:style w:type="paragraph" w:styleId="NoSpacing">
    <w:rPr>
      <w:rFonts w:ascii="Arial" w:hAnsi="Arial" w:eastAsia="Arial" w:cs="Arial"/>
      <w:sz w:val="22"/>
      <w:szCs w:val="22"/>
    </w:rPr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365F91" w:themeColor="accent1" w:themeShade="BF"/>
      <w:rFonts w:ascii="Arial" w:hAnsi="Arial" w:eastAsia="Arial" w:cs="Arial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rFonts w:ascii="Arial" w:hAnsi="Arial" w:eastAsia="Arial" w:cs="Arial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17365D" w:themeColor="text2" w:themeShade="BF"/>
      <w:spacing w:val="5"/>
      <w:kern w:val="28"/>
      <w:rFonts w:ascii="Arial" w:hAnsi="Arial" w:eastAsia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paragraph" w:styleId="ListParagraph">
    <w:rPr>
      <w:rFonts w:ascii="Arial" w:hAnsi="Arial" w:eastAsia="Arial" w:cs="Arial"/>
      <w:sz w:val="22"/>
      <w:szCs w:val="22"/>
    </w:rPr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rPr>
      <w:rFonts w:ascii="Arial" w:hAnsi="Arial" w:eastAsia="Arial" w:cs="Arial"/>
      <w:sz w:val="22"/>
      <w:szCs w:val="22"/>
    </w:rPr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rPr>
      <w:rFonts w:ascii="Arial" w:hAnsi="Arial" w:eastAsia="Arial" w:cs="Arial"/>
      <w:sz w:val="22"/>
      <w:szCs w:val="22"/>
    </w:rPr>
    <w:name w:val="Body Text Char"/>
    <w:basedOn w:val="DefaultParagraphFont"/>
    <w:link w:val="BodyText"/>
    <w:uiPriority w:val="99"/>
    <w:rsid w:val="00AA1D8D"/>
  </w:style>
  <w:style w:type="paragraph" w:styleId="BodyText2">
    <w:rPr>
      <w:rFonts w:ascii="Arial" w:hAnsi="Arial" w:eastAsia="Arial" w:cs="Arial"/>
      <w:sz w:val="22"/>
      <w:szCs w:val="22"/>
    </w:rPr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rPr>
      <w:rFonts w:ascii="Arial" w:hAnsi="Arial" w:eastAsia="Arial" w:cs="Arial"/>
      <w:sz w:val="22"/>
      <w:szCs w:val="22"/>
    </w:rPr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22"/>
      <w:szCs w:val="22"/>
    </w:rPr>
  </w:style>
  <w:style w:type="paragraph" w:styleId="List">
    <w:rPr>
      <w:rFonts w:ascii="Arial" w:hAnsi="Arial" w:eastAsia="Arial" w:cs="Arial"/>
      <w:sz w:val="22"/>
      <w:szCs w:val="22"/>
    </w:rPr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rPr>
      <w:rFonts w:ascii="Arial" w:hAnsi="Arial" w:eastAsia="Arial" w:cs="Arial"/>
      <w:sz w:val="22"/>
      <w:szCs w:val="22"/>
    </w:rPr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rPr>
      <w:rFonts w:ascii="Arial" w:hAnsi="Arial" w:eastAsia="Arial" w:cs="Arial"/>
      <w:sz w:val="22"/>
      <w:szCs w:val="22"/>
    </w:rPr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rPr>
      <w:rFonts w:ascii="Arial" w:hAnsi="Arial" w:eastAsia="Arial" w:cs="Arial"/>
      <w:sz w:val="22"/>
      <w:szCs w:val="22"/>
    </w:rPr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rPr>
      <w:rFonts w:ascii="Arial" w:hAnsi="Arial" w:eastAsia="Arial" w:cs="Arial"/>
      <w:sz w:val="22"/>
      <w:szCs w:val="22"/>
    </w:rPr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rPr>
      <w:rFonts w:ascii="Arial" w:hAnsi="Arial" w:eastAsia="Arial" w:cs="Arial"/>
      <w:sz w:val="22"/>
      <w:szCs w:val="22"/>
    </w:rPr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rPr>
      <w:rFonts w:ascii="Arial" w:hAnsi="Arial" w:eastAsia="Arial" w:cs="Arial"/>
      <w:sz w:val="22"/>
      <w:szCs w:val="22"/>
    </w:rPr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rPr>
      <w:rFonts w:ascii="Arial" w:hAnsi="Arial" w:eastAsia="Arial" w:cs="Arial"/>
      <w:sz w:val="22"/>
      <w:szCs w:val="22"/>
    </w:rPr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rPr>
      <w:rFonts w:ascii="Arial" w:hAnsi="Arial" w:eastAsia="Arial" w:cs="Arial"/>
      <w:sz w:val="22"/>
      <w:szCs w:val="22"/>
    </w:rPr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rPr>
      <w:rFonts w:ascii="Arial" w:hAnsi="Arial" w:eastAsia="Arial" w:cs="Arial"/>
      <w:sz w:val="22"/>
      <w:szCs w:val="22"/>
    </w:rPr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rPr>
      <w:rFonts w:ascii="Arial" w:hAnsi="Arial" w:eastAsia="Arial" w:cs="Arial"/>
      <w:sz w:val="22"/>
      <w:szCs w:val="22"/>
    </w:rPr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rPr>
      <w:rFonts w:ascii="Arial" w:hAnsi="Arial" w:eastAsia="Arial" w:cs="Arial"/>
      <w:sz w:val="22"/>
      <w:szCs w:val="22"/>
    </w:rPr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Arial" w:hAnsi="Arial" w:eastAsia="Arial" w:cs="Arial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Arial" w:hAnsi="Arial" w:eastAsia="Arial" w:cs="Arial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Arial" w:hAnsi="Arial" w:eastAsia="Arial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Arial" w:hAnsi="Arial" w:eastAsia="Arial" w:cs="Arial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Arial" w:hAnsi="Arial" w:eastAsia="Arial" w:cs="Arial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Arial" w:hAnsi="Arial" w:eastAsia="Arial" w:cs="Arial"/>
      <w:sz w:val="22"/>
      <w:szCs w:val="22"/>
    </w:rPr>
  </w:style>
  <w:style w:type="paragraph" w:styleId="TOCHeading">
    <w:rPr>
      <w:rFonts w:ascii="Arial" w:hAnsi="Arial" w:eastAsia="Arial" w:cs="Arial"/>
      <w:sz w:val="22"/>
      <w:szCs w:val="22"/>
    </w:rPr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rPr>
      <w:rFonts w:ascii="Arial" w:hAnsi="Arial" w:eastAsia="Arial" w:cs="Arial"/>
      <w:sz w:val="22"/>
      <w:szCs w:val="22"/>
    </w:rPr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rPr>
      <w:rFonts w:ascii="Arial" w:hAnsi="Arial" w:eastAsia="Arial" w:cs="Arial"/>
      <w:sz w:val="22"/>
      <w:szCs w:val="22"/>
    </w:rPr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rPr>
      <w:rFonts w:ascii="Arial" w:hAnsi="Arial" w:eastAsia="Arial" w:cs="Arial"/>
      <w:sz w:val="22"/>
      <w:szCs w:val="22"/>
    </w:rPr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rPr>
      <w:rFonts w:ascii="Arial" w:hAnsi="Arial" w:eastAsia="Arial" w:cs="Arial"/>
      <w:sz w:val="22"/>
      <w:szCs w:val="22"/>
    </w:rPr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rPr>
      <w:rFonts w:ascii="Arial" w:hAnsi="Arial" w:eastAsia="Arial" w:cs="Arial"/>
      <w:sz w:val="22"/>
      <w:szCs w:val="22"/>
    </w:rPr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rPr>
      <w:rFonts w:ascii="Arial" w:hAnsi="Arial" w:eastAsia="Arial" w:cs="Arial"/>
      <w:sz w:val="22"/>
      <w:szCs w:val="22"/>
    </w:rPr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rPr>
      <w:rFonts w:ascii="Arial" w:hAnsi="Arial" w:eastAsia="Arial" w:cs="Arial"/>
      <w:sz w:val="22"/>
      <w:szCs w:val="22"/>
    </w:rPr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rPr>
      <w:rFonts w:ascii="Arial" w:hAnsi="Arial" w:eastAsia="Arial" w:cs="Arial"/>
      <w:sz w:val="22"/>
      <w:szCs w:val="22"/>
    </w:rPr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rPr>
      <w:rFonts w:ascii="Arial" w:hAnsi="Arial" w:eastAsia="Arial" w:cs="Arial"/>
      <w:sz w:val="22"/>
      <w:szCs w:val="22"/>
    </w:rPr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rPr>
      <w:rFonts w:ascii="Arial" w:hAnsi="Arial" w:eastAsia="Arial" w:cs="Arial"/>
      <w:sz w:val="22"/>
      <w:szCs w:val="22"/>
    </w:rPr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rPr>
      <w:rFonts w:ascii="Arial" w:hAnsi="Arial" w:eastAsia="Arial" w:cs="Arial"/>
      <w:sz w:val="22"/>
      <w:szCs w:val="22"/>
    </w:rPr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rPr>
      <w:rFonts w:ascii="Arial" w:hAnsi="Arial" w:eastAsia="Arial" w:cs="Arial"/>
      <w:sz w:val="22"/>
      <w:szCs w:val="22"/>
    </w:rPr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rPr>
      <w:rFonts w:ascii="Arial" w:hAnsi="Arial" w:eastAsia="Arial" w:cs="Arial"/>
      <w:sz w:val="22"/>
      <w:szCs w:val="22"/>
    </w:rPr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rPr>
      <w:rFonts w:ascii="Arial" w:hAnsi="Arial" w:eastAsia="Arial" w:cs="Arial"/>
      <w:sz w:val="22"/>
      <w:szCs w:val="22"/>
    </w:rPr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rPr>
      <w:rFonts w:ascii="Arial" w:hAnsi="Arial" w:eastAsia="Arial" w:cs="Arial"/>
      <w:sz w:val="22"/>
      <w:szCs w:val="22"/>
    </w:rPr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rPr>
      <w:rFonts w:ascii="Arial" w:hAnsi="Arial" w:eastAsia="Arial" w:cs="Arial"/>
      <w:sz w:val="22"/>
      <w:szCs w:val="22"/>
    </w:rPr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rPr>
      <w:rFonts w:ascii="Arial" w:hAnsi="Arial" w:eastAsia="Arial" w:cs="Arial"/>
      <w:sz w:val="22"/>
      <w:szCs w:val="22"/>
    </w:rPr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rPr>
      <w:rFonts w:ascii="Arial" w:hAnsi="Arial" w:eastAsia="Arial" w:cs="Arial"/>
      <w:sz w:val="22"/>
      <w:szCs w:val="22"/>
    </w:rPr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rPr>
      <w:rFonts w:ascii="Arial" w:hAnsi="Arial" w:eastAsia="Arial" w:cs="Arial"/>
      <w:sz w:val="22"/>
      <w:szCs w:val="22"/>
    </w:rPr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rPr>
      <w:rFonts w:ascii="Arial" w:hAnsi="Arial" w:eastAsia="Arial" w:cs="Arial"/>
      <w:sz w:val="22"/>
      <w:szCs w:val="22"/>
    </w:rPr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rPr>
      <w:rFonts w:ascii="Arial" w:hAnsi="Arial" w:eastAsia="Arial" w:cs="Arial"/>
      <w:sz w:val="22"/>
      <w:szCs w:val="22"/>
    </w:rPr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rPr>
      <w:rFonts w:ascii="Arial" w:hAnsi="Arial" w:eastAsia="Arial" w:cs="Arial"/>
      <w:sz w:val="22"/>
      <w:szCs w:val="22"/>
    </w:rPr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rPr>
      <w:rFonts w:ascii="Arial" w:hAnsi="Arial" w:eastAsia="Arial" w:cs="Arial"/>
      <w:sz w:val="22"/>
      <w:szCs w:val="22"/>
    </w:rPr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rPr>
      <w:rFonts w:ascii="Arial" w:hAnsi="Arial" w:eastAsia="Arial" w:cs="Arial"/>
      <w:sz w:val="22"/>
      <w:szCs w:val="22"/>
    </w:rPr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rPr>
      <w:rFonts w:ascii="Arial" w:hAnsi="Arial" w:eastAsia="Arial" w:cs="Arial"/>
      <w:sz w:val="22"/>
      <w:szCs w:val="22"/>
    </w:rPr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rPr>
      <w:rFonts w:ascii="Arial" w:hAnsi="Arial" w:eastAsia="Arial" w:cs="Arial"/>
      <w:sz w:val="22"/>
      <w:szCs w:val="22"/>
    </w:rPr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rPr>
      <w:rFonts w:ascii="Arial" w:hAnsi="Arial" w:eastAsia="Arial" w:cs="Arial"/>
      <w:sz w:val="22"/>
      <w:szCs w:val="22"/>
    </w:rPr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rPr>
      <w:rFonts w:ascii="Arial" w:hAnsi="Arial" w:eastAsia="Arial" w:cs="Arial"/>
      <w:sz w:val="22"/>
      <w:szCs w:val="22"/>
    </w:rPr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rPr>
      <w:rFonts w:ascii="Arial" w:hAnsi="Arial" w:eastAsia="Arial" w:cs="Arial"/>
      <w:sz w:val="22"/>
      <w:szCs w:val="22"/>
    </w:rPr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rPr>
      <w:rFonts w:ascii="Arial" w:hAnsi="Arial" w:eastAsia="Arial" w:cs="Arial"/>
      <w:sz w:val="22"/>
      <w:szCs w:val="22"/>
    </w:rPr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rPr>
      <w:rFonts w:ascii="Arial" w:hAnsi="Arial" w:eastAsia="Arial" w:cs="Arial"/>
      <w:sz w:val="22"/>
      <w:szCs w:val="22"/>
    </w:rPr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rPr>
      <w:rFonts w:ascii="Arial" w:hAnsi="Arial" w:eastAsia="Arial" w:cs="Arial"/>
      <w:sz w:val="22"/>
      <w:szCs w:val="22"/>
    </w:rPr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rPr>
      <w:rFonts w:ascii="Arial" w:hAnsi="Arial" w:eastAsia="Arial" w:cs="Arial"/>
      <w:sz w:val="22"/>
      <w:szCs w:val="22"/>
    </w:rPr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rPr>
      <w:rFonts w:ascii="Arial" w:hAnsi="Arial" w:eastAsia="Arial" w:cs="Arial"/>
      <w:sz w:val="22"/>
      <w:szCs w:val="22"/>
    </w:rPr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rPr>
      <w:rFonts w:ascii="Arial" w:hAnsi="Arial" w:eastAsia="Arial" w:cs="Arial"/>
      <w:sz w:val="22"/>
      <w:szCs w:val="22"/>
    </w:rPr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rPr>
      <w:rFonts w:ascii="Arial" w:hAnsi="Arial" w:eastAsia="Arial" w:cs="Arial"/>
      <w:sz w:val="22"/>
      <w:szCs w:val="22"/>
    </w:rPr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rPr>
      <w:rFonts w:ascii="Arial" w:hAnsi="Arial" w:eastAsia="Arial" w:cs="Arial"/>
      <w:sz w:val="22"/>
      <w:szCs w:val="22"/>
    </w:rPr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rPr>
      <w:rFonts w:ascii="Arial" w:hAnsi="Arial" w:eastAsia="Arial" w:cs="Arial"/>
      <w:sz w:val="22"/>
      <w:szCs w:val="22"/>
    </w:rPr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rPr>
      <w:rFonts w:ascii="Arial" w:hAnsi="Arial" w:eastAsia="Arial" w:cs="Arial"/>
      <w:sz w:val="22"/>
      <w:szCs w:val="22"/>
    </w:rPr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rPr>
      <w:rFonts w:ascii="Arial" w:hAnsi="Arial" w:eastAsia="Arial" w:cs="Arial"/>
      <w:sz w:val="22"/>
      <w:szCs w:val="22"/>
    </w:rPr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rPr>
      <w:rFonts w:ascii="Arial" w:hAnsi="Arial" w:eastAsia="Arial" w:cs="Arial"/>
      <w:sz w:val="22"/>
      <w:szCs w:val="22"/>
    </w:rPr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rPr>
      <w:rFonts w:ascii="Arial" w:hAnsi="Arial" w:eastAsia="Arial" w:cs="Arial"/>
      <w:sz w:val="22"/>
      <w:szCs w:val="22"/>
    </w:rPr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rPr>
      <w:rFonts w:ascii="Arial" w:hAnsi="Arial" w:eastAsia="Arial" w:cs="Arial"/>
      <w:sz w:val="22"/>
      <w:szCs w:val="22"/>
    </w:rPr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1: On the Origin of Life - Guardrail and Failure-Mode Register - Issue 1</dc:title>
  <dc:subject>Failure-control support document aligned to Paper 1 FD14, Paper 2 v17, Paper 3 v14, and SD-01 Issue 1.</dc:subject>
  <dc:creator>OpenAI</dc:creator>
  <cp:keywords/>
  <dc:description>Generated from finalised Part 1 primary source papers and SD-01 Issue 1; old document used as formatting template only.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